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0EF39C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37A49A63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40C3A567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2CAD274D" w14:textId="6C1FEC25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a.s.</w:t>
      </w:r>
      <w:r w:rsidR="00480E1E">
        <w:rPr>
          <w:rFonts w:ascii="Calibri" w:hAnsi="Calibri"/>
          <w:sz w:val="36"/>
        </w:rPr>
        <w:t xml:space="preserve"> 2023/24</w:t>
      </w:r>
    </w:p>
    <w:p w14:paraId="09C9885F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BB371A">
        <w:rPr>
          <w:rFonts w:ascii="Calibri" w:hAnsi="Calibri"/>
          <w:sz w:val="36"/>
        </w:rPr>
        <w:t>:</w:t>
      </w:r>
      <w:r w:rsidR="00480E1E">
        <w:rPr>
          <w:rFonts w:ascii="Calibri" w:hAnsi="Calibri"/>
          <w:sz w:val="36"/>
        </w:rPr>
        <w:t xml:space="preserve"> 1EB</w:t>
      </w:r>
    </w:p>
    <w:p w14:paraId="13815E5C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480E1E">
        <w:rPr>
          <w:rFonts w:ascii="Calibri" w:hAnsi="Calibri"/>
          <w:sz w:val="36"/>
        </w:rPr>
        <w:t xml:space="preserve"> ITALIANO</w:t>
      </w:r>
    </w:p>
    <w:p w14:paraId="650DAB96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Professore:</w:t>
      </w:r>
      <w:r w:rsidR="00480E1E">
        <w:rPr>
          <w:rFonts w:ascii="Calibri" w:hAnsi="Calibri"/>
          <w:sz w:val="36"/>
        </w:rPr>
        <w:t xml:space="preserve"> LEONARDO PENNATI</w:t>
      </w:r>
    </w:p>
    <w:p w14:paraId="587C9439" w14:textId="77777777" w:rsidR="007A0581" w:rsidRPr="007A0581" w:rsidRDefault="007A0581" w:rsidP="007A0581">
      <w:pPr>
        <w:rPr>
          <w:rFonts w:ascii="Calibri" w:hAnsi="Calibri"/>
        </w:rPr>
      </w:pPr>
    </w:p>
    <w:p w14:paraId="3E4F3CC7" w14:textId="77777777" w:rsidR="007A0581" w:rsidRPr="007A0581" w:rsidRDefault="007A0581" w:rsidP="007A0581">
      <w:pPr>
        <w:rPr>
          <w:rFonts w:ascii="Calibri" w:hAnsi="Calibri"/>
        </w:rPr>
      </w:pPr>
    </w:p>
    <w:p w14:paraId="00DB719E" w14:textId="77777777" w:rsidR="007A0581" w:rsidRPr="007A0581" w:rsidRDefault="007A0581" w:rsidP="007A0581">
      <w:pPr>
        <w:rPr>
          <w:rFonts w:ascii="Calibri" w:hAnsi="Calibri"/>
        </w:rPr>
      </w:pPr>
    </w:p>
    <w:p w14:paraId="7DA26D45" w14:textId="77777777" w:rsidR="007A0581" w:rsidRPr="00C60D47" w:rsidRDefault="007A0581" w:rsidP="007A0581">
      <w:pPr>
        <w:pStyle w:val="Default"/>
        <w:rPr>
          <w:rFonts w:ascii="Calibri" w:hAnsi="Calibri"/>
          <w:b/>
          <w:u w:val="single"/>
        </w:rPr>
      </w:pPr>
      <w:r w:rsidRPr="00C60D47">
        <w:rPr>
          <w:rFonts w:ascii="Calibri" w:hAnsi="Calibri"/>
          <w:b/>
          <w:u w:val="single"/>
        </w:rPr>
        <w:t>Libri di testo adottati</w:t>
      </w:r>
    </w:p>
    <w:p w14:paraId="5B46FD15" w14:textId="77777777" w:rsidR="00480E1E" w:rsidRPr="00C60D47" w:rsidRDefault="00480E1E" w:rsidP="007A0581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Antologia: Fontana, Forte, Talice, Una vita da lettori, Epica – Narrativa, Zanichelli.</w:t>
      </w:r>
    </w:p>
    <w:p w14:paraId="4D67EE29" w14:textId="54AAF802" w:rsidR="00480E1E" w:rsidRPr="00C60D47" w:rsidRDefault="00480E1E" w:rsidP="007A0581">
      <w:pPr>
        <w:pStyle w:val="Default"/>
        <w:rPr>
          <w:rFonts w:ascii="Calibri" w:hAnsi="Calibri" w:cs="Calibri"/>
        </w:rPr>
      </w:pPr>
      <w:r w:rsidRPr="00C60D47">
        <w:rPr>
          <w:rFonts w:ascii="Calibri" w:hAnsi="Calibri" w:cs="Calibri"/>
        </w:rPr>
        <w:t>Grammatica: Sensi</w:t>
      </w:r>
      <w:r w:rsidR="007F6888">
        <w:rPr>
          <w:rFonts w:ascii="Calibri" w:hAnsi="Calibri" w:cs="Calibri"/>
        </w:rPr>
        <w:t>n</w:t>
      </w:r>
      <w:r w:rsidRPr="00C60D47">
        <w:rPr>
          <w:rFonts w:ascii="Calibri" w:hAnsi="Calibri" w:cs="Calibri"/>
        </w:rPr>
        <w:t>i, Con metodo, Mondadori Scuola.</w:t>
      </w:r>
    </w:p>
    <w:p w14:paraId="27288B70" w14:textId="77777777" w:rsidR="007A0581" w:rsidRPr="00C60D47" w:rsidRDefault="007A0581" w:rsidP="007A0581">
      <w:pPr>
        <w:pStyle w:val="Default"/>
        <w:rPr>
          <w:rFonts w:ascii="Calibri" w:hAnsi="Calibri"/>
          <w:b/>
          <w:u w:val="single"/>
        </w:rPr>
      </w:pPr>
    </w:p>
    <w:p w14:paraId="597A1AC8" w14:textId="77777777" w:rsidR="007A0581" w:rsidRPr="00C60D47" w:rsidRDefault="007A0581" w:rsidP="007A0581">
      <w:pPr>
        <w:pStyle w:val="Default"/>
        <w:rPr>
          <w:rFonts w:ascii="Calibri" w:hAnsi="Calibri"/>
          <w:b/>
          <w:u w:val="single"/>
        </w:rPr>
      </w:pPr>
      <w:r w:rsidRPr="00C60D47">
        <w:rPr>
          <w:rFonts w:ascii="Calibri" w:hAnsi="Calibri"/>
          <w:b/>
          <w:u w:val="single"/>
        </w:rPr>
        <w:t>Argomenti che sono stati trattati nel corso dell’a.s.</w:t>
      </w:r>
      <w:r w:rsidR="00480E1E" w:rsidRPr="00C60D47">
        <w:rPr>
          <w:rFonts w:ascii="Calibri" w:hAnsi="Calibri"/>
          <w:b/>
          <w:u w:val="single"/>
        </w:rPr>
        <w:t>:</w:t>
      </w:r>
    </w:p>
    <w:p w14:paraId="3C62555B" w14:textId="77777777" w:rsidR="00480E1E" w:rsidRPr="00C60D47" w:rsidRDefault="00480E1E" w:rsidP="00480E1E">
      <w:pPr>
        <w:pStyle w:val="Default"/>
        <w:rPr>
          <w:rFonts w:ascii="Calibri" w:hAnsi="Calibri"/>
          <w:b/>
          <w:u w:val="single"/>
        </w:rPr>
      </w:pPr>
      <w:r w:rsidRPr="00C60D47">
        <w:rPr>
          <w:rFonts w:ascii="Calibri" w:hAnsi="Calibri"/>
          <w:b/>
          <w:u w:val="single"/>
        </w:rPr>
        <w:t>Grammatica</w:t>
      </w:r>
    </w:p>
    <w:p w14:paraId="237150B6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• Le principali norme ortografiche </w:t>
      </w:r>
    </w:p>
    <w:p w14:paraId="4D3228FD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• Il verbo: struttura, persona, numero, tutti i modi e tutti i tempi, genere (verbi transitivi </w:t>
      </w:r>
    </w:p>
    <w:p w14:paraId="185B47B5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e intransitivi), forma (attiva, passiva, riflessiva, intransitiva pronominale, impersonale), </w:t>
      </w:r>
    </w:p>
    <w:p w14:paraId="00DA9D69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funzioni (verbi predicativi, copulativi, ausiliari, servili, fraseologici) </w:t>
      </w:r>
    </w:p>
    <w:p w14:paraId="5DD57087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• La sintassi della frase semplice: predicato verbale e nominale, soggetto, attributo, </w:t>
      </w:r>
    </w:p>
    <w:p w14:paraId="604ACB66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apposizione, i vari complementi diretti e indiretti </w:t>
      </w:r>
    </w:p>
    <w:p w14:paraId="306A03FD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</w:p>
    <w:p w14:paraId="6E27C504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  <w:b/>
          <w:u w:val="single"/>
        </w:rPr>
      </w:pPr>
      <w:r w:rsidRPr="00C60D47">
        <w:rPr>
          <w:rFonts w:asciiTheme="minorHAnsi" w:hAnsiTheme="minorHAnsi" w:cstheme="minorHAnsi"/>
          <w:b/>
          <w:u w:val="single"/>
        </w:rPr>
        <w:t xml:space="preserve">Epica </w:t>
      </w:r>
    </w:p>
    <w:p w14:paraId="06BE2EEE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• Il mito: lettura, analisi e commento dei miti di Narciso (dalle Metamorfosi di Ovidio) e di </w:t>
      </w:r>
    </w:p>
    <w:p w14:paraId="491B1955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Prometeo e Pandora (da Le opere e i giorni di Esiodo); confronto tra la tradizione </w:t>
      </w:r>
    </w:p>
    <w:p w14:paraId="2FA7A68D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culturale greca e biblica attraverso il tema comune del sacrificio del figlio (Ifigenia e </w:t>
      </w:r>
    </w:p>
    <w:p w14:paraId="4DAD2C70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Isacco) </w:t>
      </w:r>
    </w:p>
    <w:p w14:paraId="078EADE4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• L’epica: le origini dell’epos in Grecia (radici storiche, funzione sociale ed educativa, il </w:t>
      </w:r>
    </w:p>
    <w:p w14:paraId="07B1B835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ciclo troiano, la cosiddetta questione omerica); l’epica latina e Virgilio; studio </w:t>
      </w:r>
    </w:p>
    <w:p w14:paraId="47F47B75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approfondito di Iliade, Odissea ed Eneide. Lettura, analisi e commento dei seguenti passi: </w:t>
      </w:r>
    </w:p>
    <w:p w14:paraId="093105CF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- Iliade: Proemio, L’ira di Achille, Tersite, Ettore e Andromaca, La morte di Patroclo, il </w:t>
      </w:r>
    </w:p>
    <w:p w14:paraId="38B8828F" w14:textId="3287CD01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duello tra Ettore e Achille, Achille e Priamo</w:t>
      </w:r>
      <w:r w:rsidR="007F6888">
        <w:rPr>
          <w:rFonts w:asciiTheme="minorHAnsi" w:hAnsiTheme="minorHAnsi" w:cstheme="minorHAnsi"/>
        </w:rPr>
        <w:t>.</w:t>
      </w:r>
    </w:p>
    <w:p w14:paraId="19756FCF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- Odissea: Proemio, Odisseo e Nausicaa, Il pianto di Odisseo, Polifemo, Odisseo e Circe, La </w:t>
      </w:r>
    </w:p>
    <w:p w14:paraId="494F1318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gara dell’arco, Odisseo e Penelope.</w:t>
      </w:r>
    </w:p>
    <w:p w14:paraId="799C50B7" w14:textId="3157D4BD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Eneide: Proemio, L’incontro tra Enea e Didone, Laocoonte,</w:t>
      </w:r>
      <w:r w:rsidR="007F6888">
        <w:rPr>
          <w:rFonts w:asciiTheme="minorHAnsi" w:hAnsiTheme="minorHAnsi" w:cstheme="minorHAnsi"/>
        </w:rPr>
        <w:t xml:space="preserve"> </w:t>
      </w:r>
      <w:r w:rsidRPr="00C60D47">
        <w:rPr>
          <w:rFonts w:asciiTheme="minorHAnsi" w:hAnsiTheme="minorHAnsi" w:cstheme="minorHAnsi"/>
        </w:rPr>
        <w:t xml:space="preserve">Il tragico amore di </w:t>
      </w:r>
    </w:p>
    <w:p w14:paraId="7CD163E1" w14:textId="37E6A049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Didone e la sua morte</w:t>
      </w:r>
      <w:r w:rsidR="007F6888">
        <w:rPr>
          <w:rFonts w:asciiTheme="minorHAnsi" w:hAnsiTheme="minorHAnsi" w:cstheme="minorHAnsi"/>
        </w:rPr>
        <w:t>, Il duello fra Enea e Turno</w:t>
      </w:r>
    </w:p>
    <w:p w14:paraId="07F1A20F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</w:p>
    <w:p w14:paraId="5BE2BB8A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  <w:b/>
          <w:u w:val="single"/>
        </w:rPr>
      </w:pPr>
      <w:r w:rsidRPr="00C60D47">
        <w:rPr>
          <w:rFonts w:asciiTheme="minorHAnsi" w:hAnsiTheme="minorHAnsi" w:cstheme="minorHAnsi"/>
          <w:b/>
          <w:u w:val="single"/>
        </w:rPr>
        <w:t xml:space="preserve">Narrativa </w:t>
      </w:r>
    </w:p>
    <w:p w14:paraId="24418FC6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Elementi di narratologia: sequenze, fabula, intreccio, struttura-tipo del testo narrativo, </w:t>
      </w:r>
    </w:p>
    <w:p w14:paraId="02357553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lastRenderedPageBreak/>
        <w:t xml:space="preserve">il sistema dei personaggi (caratterizzazione, tipologia, tecniche per riferire discorsi e </w:t>
      </w:r>
    </w:p>
    <w:p w14:paraId="57E2B530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pensieri), autore, narratore, focalizzazione, tempo della storia e tempo del racconto, lo </w:t>
      </w:r>
    </w:p>
    <w:p w14:paraId="2F4DC995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spazio, lo stile</w:t>
      </w:r>
      <w:r w:rsidR="00C60D47" w:rsidRPr="00C60D47">
        <w:rPr>
          <w:rFonts w:asciiTheme="minorHAnsi" w:hAnsiTheme="minorHAnsi" w:cstheme="minorHAnsi"/>
        </w:rPr>
        <w:t>.</w:t>
      </w:r>
    </w:p>
    <w:p w14:paraId="563B2D1F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</w:p>
    <w:p w14:paraId="373EEFDB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La narrazione breve: presentazione dei vari generi (narrazione realistica, sentimentale, </w:t>
      </w:r>
    </w:p>
    <w:p w14:paraId="04846620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umoristica, fantastica, simbolica). Lettura, analisi e commento dei seguenti </w:t>
      </w:r>
    </w:p>
    <w:p w14:paraId="664E8AA0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testi narrativi: </w:t>
      </w:r>
    </w:p>
    <w:p w14:paraId="6E291462" w14:textId="6F0E563A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</w:t>
      </w:r>
      <w:r w:rsidR="007F6888">
        <w:rPr>
          <w:rFonts w:asciiTheme="minorHAnsi" w:hAnsiTheme="minorHAnsi" w:cstheme="minorHAnsi"/>
        </w:rPr>
        <w:t>Calligrafia”, di Varlam Salamov</w:t>
      </w:r>
    </w:p>
    <w:p w14:paraId="38FFE1E6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- “I gioielli” di Guy de Maupassant </w:t>
      </w:r>
    </w:p>
    <w:p w14:paraId="4B89F66B" w14:textId="1B0892AF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</w:t>
      </w:r>
      <w:r w:rsidR="007F6888">
        <w:rPr>
          <w:rFonts w:asciiTheme="minorHAnsi" w:hAnsiTheme="minorHAnsi" w:cstheme="minorHAnsi"/>
        </w:rPr>
        <w:t>Il cerimoniale dei Musgrave” di Arthur Conan Doyle</w:t>
      </w:r>
      <w:r w:rsidRPr="00C60D47">
        <w:rPr>
          <w:rFonts w:asciiTheme="minorHAnsi" w:hAnsiTheme="minorHAnsi" w:cstheme="minorHAnsi"/>
        </w:rPr>
        <w:t xml:space="preserve"> </w:t>
      </w:r>
    </w:p>
    <w:p w14:paraId="06BF33C0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“Breve sogno” di Primo Levi</w:t>
      </w:r>
    </w:p>
    <w:p w14:paraId="70310E29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- “La matrona di Efeso” di Petronio </w:t>
      </w:r>
    </w:p>
    <w:p w14:paraId="24F92AB1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- “Un’opera d’arte” di Anton Pavlovic Cechov </w:t>
      </w:r>
    </w:p>
    <w:p w14:paraId="05E77C15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- “Un cane assurdo” di Eric Partridge </w:t>
      </w:r>
    </w:p>
    <w:p w14:paraId="1F623124" w14:textId="04146648" w:rsidR="007F6888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</w:t>
      </w:r>
      <w:r w:rsidR="007F6888">
        <w:rPr>
          <w:rFonts w:asciiTheme="minorHAnsi" w:hAnsiTheme="minorHAnsi" w:cstheme="minorHAnsi"/>
        </w:rPr>
        <w:t>La legge di Murphy” di Arthur Bloch</w:t>
      </w:r>
    </w:p>
    <w:p w14:paraId="4D25F0AB" w14:textId="06E6D0EB" w:rsidR="007F6888" w:rsidRPr="00C60D47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“Specialità del giorno” di David Sedaris</w:t>
      </w:r>
    </w:p>
    <w:p w14:paraId="54894EAF" w14:textId="42A7D41A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</w:t>
      </w:r>
      <w:r w:rsidR="007F6888">
        <w:rPr>
          <w:rFonts w:asciiTheme="minorHAnsi" w:hAnsiTheme="minorHAnsi" w:cstheme="minorHAnsi"/>
        </w:rPr>
        <w:t>Il gatto nero” di Edgar Allan Poe</w:t>
      </w:r>
    </w:p>
    <w:p w14:paraId="329C5F4D" w14:textId="22195A78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</w:t>
      </w:r>
      <w:r w:rsidR="007F6888">
        <w:rPr>
          <w:rFonts w:asciiTheme="minorHAnsi" w:hAnsiTheme="minorHAnsi" w:cstheme="minorHAnsi"/>
        </w:rPr>
        <w:t>Cacciatori di vecchi” di Dino Buzzati</w:t>
      </w:r>
      <w:r w:rsidRPr="00C60D47">
        <w:rPr>
          <w:rFonts w:asciiTheme="minorHAnsi" w:hAnsiTheme="minorHAnsi" w:cstheme="minorHAnsi"/>
        </w:rPr>
        <w:t xml:space="preserve"> </w:t>
      </w:r>
    </w:p>
    <w:p w14:paraId="20D1F58F" w14:textId="68C971AB" w:rsidR="007F6888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 “</w:t>
      </w:r>
      <w:r w:rsidR="007F6888">
        <w:rPr>
          <w:rFonts w:asciiTheme="minorHAnsi" w:hAnsiTheme="minorHAnsi" w:cstheme="minorHAnsi"/>
        </w:rPr>
        <w:t>La scoperta dell’Europa” di Achille Campanile</w:t>
      </w:r>
    </w:p>
    <w:p w14:paraId="00BD433C" w14:textId="6A8B8E81" w:rsidR="007F6888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“Tutto in un punto” di Italo Calvino</w:t>
      </w:r>
    </w:p>
    <w:p w14:paraId="724F93C4" w14:textId="62AF5BAD" w:rsidR="007F6888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“Le mura di Anagoor” di Dino Buzzati</w:t>
      </w:r>
    </w:p>
    <w:p w14:paraId="15F95380" w14:textId="23D612E2" w:rsidR="007F6888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“L’esperimento” di Fredric Brown</w:t>
      </w:r>
    </w:p>
    <w:p w14:paraId="03789158" w14:textId="5AC35E9C" w:rsidR="007F6888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“Quello che contò Aulo Gellio” di Andrea Camilleri</w:t>
      </w:r>
    </w:p>
    <w:p w14:paraId="7D2B6B2B" w14:textId="6583A659" w:rsidR="007F6888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“La lotteria” di Shirley Jackson</w:t>
      </w:r>
    </w:p>
    <w:p w14:paraId="1B92F6C1" w14:textId="4609442F" w:rsidR="007F6888" w:rsidRPr="00C60D47" w:rsidRDefault="007F6888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“Giorno d’esame” di Henry Slesar</w:t>
      </w:r>
    </w:p>
    <w:p w14:paraId="1D6ABBDD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</w:p>
    <w:p w14:paraId="22B5CF4D" w14:textId="77777777" w:rsidR="00480E1E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Il romanzo: caratteristiche e breve storia del genere. Lettura, analisi e commento dei seguenti brani: </w:t>
      </w:r>
    </w:p>
    <w:p w14:paraId="6429CC69" w14:textId="22006160" w:rsidR="007F6888" w:rsidRPr="00C60D47" w:rsidRDefault="00480E1E" w:rsidP="00480E1E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-Incipit di “Uno, nessuno e centomila” di Luigi Pirandello</w:t>
      </w:r>
      <w:r w:rsidR="007F6888">
        <w:rPr>
          <w:rFonts w:asciiTheme="minorHAnsi" w:hAnsiTheme="minorHAnsi" w:cstheme="minorHAnsi"/>
        </w:rPr>
        <w:t>.</w:t>
      </w:r>
    </w:p>
    <w:p w14:paraId="77B21BC4" w14:textId="77777777" w:rsidR="00C60D47" w:rsidRPr="00C60D47" w:rsidRDefault="00C60D47" w:rsidP="00C60D47">
      <w:pPr>
        <w:pStyle w:val="Default"/>
        <w:rPr>
          <w:rFonts w:asciiTheme="minorHAnsi" w:hAnsiTheme="minorHAnsi" w:cstheme="minorHAnsi"/>
        </w:rPr>
      </w:pPr>
    </w:p>
    <w:p w14:paraId="06E01EC0" w14:textId="77777777" w:rsidR="00C60D47" w:rsidRPr="00C60D47" w:rsidRDefault="00C60D47" w:rsidP="00C60D47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  <w:b/>
          <w:u w:val="single"/>
        </w:rPr>
        <w:t>Scrittura</w:t>
      </w:r>
    </w:p>
    <w:p w14:paraId="5F0858A1" w14:textId="77777777" w:rsidR="00C60D47" w:rsidRPr="00C60D47" w:rsidRDefault="00C60D47" w:rsidP="00C60D47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-Il riassunto</w:t>
      </w:r>
    </w:p>
    <w:p w14:paraId="5E3D111F" w14:textId="77777777" w:rsidR="00C60D47" w:rsidRPr="00C60D47" w:rsidRDefault="00C60D47" w:rsidP="00C60D47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>-</w:t>
      </w:r>
      <w:r w:rsidR="00480E1E" w:rsidRPr="00C60D47">
        <w:rPr>
          <w:rFonts w:asciiTheme="minorHAnsi" w:hAnsiTheme="minorHAnsi" w:cstheme="minorHAnsi"/>
        </w:rPr>
        <w:t>Il testo narrativo</w:t>
      </w:r>
    </w:p>
    <w:p w14:paraId="67C6BD08" w14:textId="77777777" w:rsidR="00480E1E" w:rsidRPr="00C60D47" w:rsidRDefault="00480E1E" w:rsidP="00C60D47">
      <w:pPr>
        <w:pStyle w:val="Default"/>
        <w:rPr>
          <w:rFonts w:asciiTheme="minorHAnsi" w:hAnsiTheme="minorHAnsi" w:cstheme="minorHAnsi"/>
        </w:rPr>
      </w:pPr>
      <w:r w:rsidRPr="00C60D47">
        <w:rPr>
          <w:rFonts w:asciiTheme="minorHAnsi" w:hAnsiTheme="minorHAnsi" w:cstheme="minorHAnsi"/>
        </w:rPr>
        <w:t xml:space="preserve"> </w:t>
      </w:r>
    </w:p>
    <w:p w14:paraId="4E4ED5E4" w14:textId="77777777" w:rsidR="00C60D47" w:rsidRPr="00C60D47" w:rsidRDefault="00480E1E" w:rsidP="00480E1E">
      <w:pPr>
        <w:pStyle w:val="Default"/>
        <w:rPr>
          <w:rFonts w:asciiTheme="minorHAnsi" w:hAnsiTheme="minorHAnsi" w:cstheme="minorHAnsi"/>
          <w:b/>
          <w:u w:val="single"/>
        </w:rPr>
      </w:pPr>
      <w:r w:rsidRPr="00C60D47">
        <w:rPr>
          <w:rFonts w:asciiTheme="minorHAnsi" w:hAnsiTheme="minorHAnsi" w:cstheme="minorHAnsi"/>
          <w:b/>
          <w:u w:val="single"/>
        </w:rPr>
        <w:t>Educazione civica</w:t>
      </w:r>
    </w:p>
    <w:p w14:paraId="41705A94" w14:textId="77777777" w:rsidR="00480E1E" w:rsidRDefault="00C60D47" w:rsidP="00480E1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80E1E" w:rsidRPr="00C60D47">
        <w:rPr>
          <w:rFonts w:asciiTheme="minorHAnsi" w:hAnsiTheme="minorHAnsi" w:cstheme="minorHAnsi"/>
        </w:rPr>
        <w:t>orme e valori morali nell’epica omerica</w:t>
      </w:r>
      <w:r w:rsidRPr="00C60D47">
        <w:rPr>
          <w:rFonts w:asciiTheme="minorHAnsi" w:hAnsiTheme="minorHAnsi" w:cstheme="minorHAnsi"/>
        </w:rPr>
        <w:t>.</w:t>
      </w:r>
    </w:p>
    <w:p w14:paraId="73D65088" w14:textId="77777777" w:rsidR="007F6888" w:rsidRPr="00C60D47" w:rsidRDefault="007F6888" w:rsidP="00480E1E">
      <w:pPr>
        <w:pStyle w:val="Default"/>
        <w:rPr>
          <w:rFonts w:asciiTheme="minorHAnsi" w:hAnsiTheme="minorHAnsi" w:cstheme="minorHAnsi"/>
        </w:rPr>
      </w:pPr>
    </w:p>
    <w:p w14:paraId="0E4FB5F0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23036752" w14:textId="77777777"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A736D" w14:textId="77777777" w:rsidR="002F1708" w:rsidRDefault="002F1708">
      <w:r>
        <w:separator/>
      </w:r>
    </w:p>
  </w:endnote>
  <w:endnote w:type="continuationSeparator" w:id="0">
    <w:p w14:paraId="54DE1E87" w14:textId="77777777" w:rsidR="002F1708" w:rsidRDefault="002F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A736" w14:textId="77777777" w:rsidR="00EB3010" w:rsidRDefault="00BB371A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C15561D" wp14:editId="5995875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13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273D7485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7BABEB1A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7A9A7" w14:textId="77777777" w:rsidR="00822632" w:rsidRPr="00CB53A0" w:rsidRDefault="00BB371A" w:rsidP="00822632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A52C9F2" wp14:editId="151A193D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BC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653425E3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1C9E547A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7762A" w14:textId="77777777" w:rsidR="002F1708" w:rsidRDefault="002F1708">
      <w:r>
        <w:separator/>
      </w:r>
    </w:p>
  </w:footnote>
  <w:footnote w:type="continuationSeparator" w:id="0">
    <w:p w14:paraId="1F56105D" w14:textId="77777777" w:rsidR="002F1708" w:rsidRDefault="002F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B5CF" w14:textId="77777777" w:rsidR="004E1C20" w:rsidRDefault="00BB371A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75ECF2" wp14:editId="3F0FDFAC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04A891" wp14:editId="50C3AFC5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C5CF9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14:paraId="67D3B58A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3FE86C30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528B4D58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52315FD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E0F6FC3" w14:textId="77777777" w:rsidR="001864EC" w:rsidRDefault="00BB371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7E3B0462" wp14:editId="3924326A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3CAEEE71" wp14:editId="1DFE280A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3F7869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AFB35A0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2452106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110E49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601DF647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55D6B"/>
    <w:multiLevelType w:val="hybridMultilevel"/>
    <w:tmpl w:val="5784F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1291"/>
    <w:multiLevelType w:val="hybridMultilevel"/>
    <w:tmpl w:val="07106CD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7607EDB"/>
    <w:multiLevelType w:val="hybridMultilevel"/>
    <w:tmpl w:val="C1046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389188142">
    <w:abstractNumId w:val="0"/>
  </w:num>
  <w:num w:numId="2" w16cid:durableId="1716392155">
    <w:abstractNumId w:val="2"/>
  </w:num>
  <w:num w:numId="3" w16cid:durableId="1928342432">
    <w:abstractNumId w:val="9"/>
  </w:num>
  <w:num w:numId="4" w16cid:durableId="1668821003">
    <w:abstractNumId w:val="5"/>
  </w:num>
  <w:num w:numId="5" w16cid:durableId="354111748">
    <w:abstractNumId w:val="8"/>
  </w:num>
  <w:num w:numId="6" w16cid:durableId="2082482985">
    <w:abstractNumId w:val="10"/>
  </w:num>
  <w:num w:numId="7" w16cid:durableId="2041735877">
    <w:abstractNumId w:val="1"/>
  </w:num>
  <w:num w:numId="8" w16cid:durableId="1858932040">
    <w:abstractNumId w:val="3"/>
  </w:num>
  <w:num w:numId="9" w16cid:durableId="1022513619">
    <w:abstractNumId w:val="4"/>
  </w:num>
  <w:num w:numId="10" w16cid:durableId="1341658201">
    <w:abstractNumId w:val="7"/>
  </w:num>
  <w:num w:numId="11" w16cid:durableId="757797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1708"/>
    <w:rsid w:val="002F381D"/>
    <w:rsid w:val="00352A47"/>
    <w:rsid w:val="003A0B81"/>
    <w:rsid w:val="003E2366"/>
    <w:rsid w:val="003E4560"/>
    <w:rsid w:val="00454D95"/>
    <w:rsid w:val="00480E1E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7689A"/>
    <w:rsid w:val="007A0581"/>
    <w:rsid w:val="007C72F8"/>
    <w:rsid w:val="007F23A0"/>
    <w:rsid w:val="007F6888"/>
    <w:rsid w:val="00822632"/>
    <w:rsid w:val="00833A2B"/>
    <w:rsid w:val="00835379"/>
    <w:rsid w:val="008C0DF7"/>
    <w:rsid w:val="008D7B09"/>
    <w:rsid w:val="009377CF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86590"/>
    <w:rsid w:val="00BB371A"/>
    <w:rsid w:val="00C1550D"/>
    <w:rsid w:val="00C60D47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2CB4C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DB4D8C-77AC-40C8-A34F-663DB1399C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3209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Leonardo Pennati</cp:lastModifiedBy>
  <cp:revision>4</cp:revision>
  <cp:lastPrinted>2023-03-23T09:51:00Z</cp:lastPrinted>
  <dcterms:created xsi:type="dcterms:W3CDTF">2023-10-31T14:09:00Z</dcterms:created>
  <dcterms:modified xsi:type="dcterms:W3CDTF">2024-05-31T08:09:00Z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